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7B4C" w14:textId="0E818A5B" w:rsidR="001C037E" w:rsidRPr="001C037E" w:rsidRDefault="001C037E" w:rsidP="001C037E">
      <w:pPr>
        <w:ind w:left="720" w:hanging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037E">
        <w:rPr>
          <w:rFonts w:ascii="Times New Roman" w:hAnsi="Times New Roman" w:cs="Times New Roman"/>
          <w:i/>
          <w:iCs/>
          <w:sz w:val="26"/>
          <w:szCs w:val="26"/>
        </w:rPr>
        <w:t>Eccessiva onerosità sopravvenuta e validità delle clausole limitative della possibilità di chiedere la revisione del prezzo</w:t>
      </w:r>
    </w:p>
    <w:p w14:paraId="5A3BC3DC" w14:textId="77777777" w:rsidR="001C037E" w:rsidRDefault="001C037E" w:rsidP="001C037E">
      <w:pPr>
        <w:ind w:left="720" w:hanging="360"/>
        <w:jc w:val="both"/>
      </w:pPr>
    </w:p>
    <w:p w14:paraId="1A07D84E" w14:textId="77777777" w:rsidR="001C037E" w:rsidRPr="00BA23B2" w:rsidRDefault="001C037E" w:rsidP="001C03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L’eccessiva onerosità come difetto del contratto</w:t>
      </w:r>
    </w:p>
    <w:p w14:paraId="3A01EE65" w14:textId="40CB8391" w:rsidR="001C037E" w:rsidRPr="00BA23B2" w:rsidRDefault="001C037E" w:rsidP="001C03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Campo di applicazione: contratti</w:t>
      </w:r>
      <w:r>
        <w:rPr>
          <w:rFonts w:ascii="Times New Roman" w:hAnsi="Times New Roman" w:cs="Times New Roman"/>
          <w:sz w:val="26"/>
          <w:szCs w:val="26"/>
        </w:rPr>
        <w:t xml:space="preserve"> a esecuzione continuata e periodica e a esecuzione differita: cioè i contratti i cui effetti non si esauriscono al momento della stipulazione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contratti caratterizzati da uno iato temporale tra momento di conclusione e momento di esecuzione. Esempio: il contratto di appalto</w:t>
      </w:r>
      <w:r w:rsidRPr="00BA23B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236C29" w14:textId="54D60D11" w:rsidR="001C037E" w:rsidRPr="00BA23B2" w:rsidRDefault="001C037E" w:rsidP="001C03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Difetto come squilibrio economico, del rapporto di valore tra le prestazioni, del sinallagma</w:t>
      </w:r>
      <w:r>
        <w:rPr>
          <w:rFonts w:ascii="Times New Roman" w:hAnsi="Times New Roman" w:cs="Times New Roman"/>
          <w:sz w:val="26"/>
          <w:szCs w:val="26"/>
        </w:rPr>
        <w:t xml:space="preserve"> contrattuale</w:t>
      </w:r>
      <w:r w:rsidRPr="00BA23B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F94813" w14:textId="77777777" w:rsidR="001C037E" w:rsidRPr="00BA23B2" w:rsidRDefault="001C037E" w:rsidP="001C03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Difetto non originario ma sopravvenuto cioè che riguarda la fase di esecuzione del contratto</w:t>
      </w:r>
    </w:p>
    <w:p w14:paraId="0A4EB907" w14:textId="33D6A473" w:rsidR="001C037E" w:rsidRPr="00BA23B2" w:rsidRDefault="001C037E" w:rsidP="001C03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Pr="00BA23B2">
        <w:rPr>
          <w:rFonts w:ascii="Times New Roman" w:hAnsi="Times New Roman" w:cs="Times New Roman"/>
          <w:sz w:val="26"/>
          <w:szCs w:val="26"/>
        </w:rPr>
        <w:t xml:space="preserve">imedi: </w:t>
      </w: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BA23B2">
        <w:rPr>
          <w:rFonts w:ascii="Times New Roman" w:hAnsi="Times New Roman" w:cs="Times New Roman"/>
          <w:sz w:val="26"/>
          <w:szCs w:val="26"/>
        </w:rPr>
        <w:t>risoluzione</w:t>
      </w:r>
      <w:r>
        <w:rPr>
          <w:rFonts w:ascii="Times New Roman" w:hAnsi="Times New Roman" w:cs="Times New Roman"/>
          <w:sz w:val="26"/>
          <w:szCs w:val="26"/>
        </w:rPr>
        <w:t xml:space="preserve"> giudiziale del contrato;</w:t>
      </w:r>
      <w:r w:rsidRPr="00BA2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BA23B2">
        <w:rPr>
          <w:rFonts w:ascii="Times New Roman" w:hAnsi="Times New Roman" w:cs="Times New Roman"/>
          <w:sz w:val="26"/>
          <w:szCs w:val="26"/>
        </w:rPr>
        <w:t xml:space="preserve">offerta di modifica: rimedio </w:t>
      </w:r>
      <w:proofErr w:type="spellStart"/>
      <w:r w:rsidRPr="00BA23B2">
        <w:rPr>
          <w:rFonts w:ascii="Times New Roman" w:hAnsi="Times New Roman" w:cs="Times New Roman"/>
          <w:sz w:val="26"/>
          <w:szCs w:val="26"/>
        </w:rPr>
        <w:t>caducatorio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il primo, rimedio</w:t>
      </w:r>
      <w:r w:rsidRPr="00BA23B2">
        <w:rPr>
          <w:rFonts w:ascii="Times New Roman" w:hAnsi="Times New Roman" w:cs="Times New Roman"/>
          <w:sz w:val="26"/>
          <w:szCs w:val="26"/>
        </w:rPr>
        <w:t xml:space="preserve"> manutentivo</w:t>
      </w:r>
      <w:r>
        <w:rPr>
          <w:rFonts w:ascii="Times New Roman" w:hAnsi="Times New Roman" w:cs="Times New Roman"/>
          <w:sz w:val="26"/>
          <w:szCs w:val="26"/>
        </w:rPr>
        <w:t xml:space="preserve"> il secondo</w:t>
      </w:r>
      <w:r w:rsidRPr="00BA23B2">
        <w:rPr>
          <w:rFonts w:ascii="Times New Roman" w:hAnsi="Times New Roman" w:cs="Times New Roman"/>
          <w:sz w:val="26"/>
          <w:szCs w:val="26"/>
        </w:rPr>
        <w:t xml:space="preserve">. L’attivazione del secondo consente di evitare il primo. </w:t>
      </w:r>
      <w:r>
        <w:rPr>
          <w:rFonts w:ascii="Times New Roman" w:hAnsi="Times New Roman" w:cs="Times New Roman"/>
          <w:sz w:val="26"/>
          <w:szCs w:val="26"/>
        </w:rPr>
        <w:t>L’offerta di modifica costituisce esercizio di un d</w:t>
      </w:r>
      <w:r w:rsidRPr="00BA23B2">
        <w:rPr>
          <w:rFonts w:ascii="Times New Roman" w:hAnsi="Times New Roman" w:cs="Times New Roman"/>
          <w:sz w:val="26"/>
          <w:szCs w:val="26"/>
        </w:rPr>
        <w:t>iritto potestativo</w:t>
      </w:r>
    </w:p>
    <w:p w14:paraId="091CF6E5" w14:textId="77777777" w:rsidR="001C037E" w:rsidRPr="00BA23B2" w:rsidRDefault="001C037E" w:rsidP="001C03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Differenza tra la disciplina in generale dell’eccessiva onerosità sopravvenuta e la disciplina dell’eccessiva onerosità nel contratto di appalto</w:t>
      </w:r>
    </w:p>
    <w:p w14:paraId="37386F42" w14:textId="1E510BCE" w:rsidR="001C037E" w:rsidRPr="00BA23B2" w:rsidRDefault="001C037E" w:rsidP="001C037E">
      <w:pPr>
        <w:pStyle w:val="Paragrafoelenc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3.1 </w:t>
      </w:r>
      <w:r>
        <w:rPr>
          <w:rFonts w:ascii="Times New Roman" w:hAnsi="Times New Roman" w:cs="Times New Roman"/>
          <w:sz w:val="26"/>
          <w:szCs w:val="26"/>
        </w:rPr>
        <w:t xml:space="preserve">il presupposto: le </w:t>
      </w:r>
      <w:r w:rsidRPr="00BA23B2">
        <w:rPr>
          <w:rFonts w:ascii="Times New Roman" w:hAnsi="Times New Roman" w:cs="Times New Roman"/>
          <w:sz w:val="26"/>
          <w:szCs w:val="26"/>
        </w:rPr>
        <w:t xml:space="preserve">circostanze </w:t>
      </w:r>
      <w:r>
        <w:rPr>
          <w:rFonts w:ascii="Times New Roman" w:hAnsi="Times New Roman" w:cs="Times New Roman"/>
          <w:sz w:val="26"/>
          <w:szCs w:val="26"/>
        </w:rPr>
        <w:t>straordinarie e i</w:t>
      </w:r>
      <w:r w:rsidRPr="00BA23B2">
        <w:rPr>
          <w:rFonts w:ascii="Times New Roman" w:hAnsi="Times New Roman" w:cs="Times New Roman"/>
          <w:sz w:val="26"/>
          <w:szCs w:val="26"/>
        </w:rPr>
        <w:t>mprevedibili</w:t>
      </w:r>
      <w:r>
        <w:rPr>
          <w:rFonts w:ascii="Times New Roman" w:hAnsi="Times New Roman" w:cs="Times New Roman"/>
          <w:sz w:val="26"/>
          <w:szCs w:val="26"/>
        </w:rPr>
        <w:t xml:space="preserve"> sono il presupposto della risoluzione/offerta di modifica; le circostanze imprevedibili (</w:t>
      </w:r>
      <w:r w:rsidRPr="00BA23B2">
        <w:rPr>
          <w:rFonts w:ascii="Times New Roman" w:hAnsi="Times New Roman" w:cs="Times New Roman"/>
          <w:sz w:val="26"/>
          <w:szCs w:val="26"/>
        </w:rPr>
        <w:t>anche se non straordinarie</w:t>
      </w:r>
      <w:r>
        <w:rPr>
          <w:rFonts w:ascii="Times New Roman" w:hAnsi="Times New Roman" w:cs="Times New Roman"/>
          <w:sz w:val="26"/>
          <w:szCs w:val="26"/>
        </w:rPr>
        <w:t>) sono il presupposto della revisione ex art. 1664 c.c.</w:t>
      </w:r>
    </w:p>
    <w:p w14:paraId="0B10F612" w14:textId="2BDED2FD" w:rsidR="001C037E" w:rsidRPr="00BA23B2" w:rsidRDefault="001C037E" w:rsidP="001C037E">
      <w:pPr>
        <w:pStyle w:val="Paragrafoelenc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3.2  il parametro normativo dell’eccessiva onerosità sopravvenuta</w:t>
      </w:r>
      <w:r>
        <w:rPr>
          <w:rFonts w:ascii="Times New Roman" w:hAnsi="Times New Roman" w:cs="Times New Roman"/>
          <w:sz w:val="26"/>
          <w:szCs w:val="26"/>
        </w:rPr>
        <w:t>: l’art. 1467 non fissa la misura dell’eccessività, rimettendo la valutazione all’interprete; l’art. 1664 c.c., invece, stabilisce la misura di ciò che è eccessivamente oneroso (aumento o diminuzione del 10%)</w:t>
      </w:r>
    </w:p>
    <w:p w14:paraId="24BCC1C5" w14:textId="6F26C23D" w:rsidR="001C037E" w:rsidRPr="00BA23B2" w:rsidRDefault="001C037E" w:rsidP="001C037E">
      <w:pPr>
        <w:pStyle w:val="Paragrafoelenc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3.3 Il rimedio: </w:t>
      </w:r>
      <w:r>
        <w:rPr>
          <w:rFonts w:ascii="Times New Roman" w:hAnsi="Times New Roman" w:cs="Times New Roman"/>
          <w:sz w:val="26"/>
          <w:szCs w:val="26"/>
        </w:rPr>
        <w:t xml:space="preserve">l’art. 1467 </w:t>
      </w:r>
      <w:proofErr w:type="spellStart"/>
      <w:r>
        <w:rPr>
          <w:rFonts w:ascii="Times New Roman" w:hAnsi="Times New Roman" w:cs="Times New Roman"/>
          <w:sz w:val="26"/>
          <w:szCs w:val="26"/>
        </w:rPr>
        <w:t>c.c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22EF">
        <w:rPr>
          <w:rFonts w:ascii="Times New Roman" w:hAnsi="Times New Roman" w:cs="Times New Roman"/>
          <w:sz w:val="26"/>
          <w:szCs w:val="26"/>
        </w:rPr>
        <w:t xml:space="preserve">prevede due rimedi, </w:t>
      </w:r>
      <w:r w:rsidR="005079D5">
        <w:rPr>
          <w:rFonts w:ascii="Times New Roman" w:hAnsi="Times New Roman" w:cs="Times New Roman"/>
          <w:sz w:val="26"/>
          <w:szCs w:val="26"/>
        </w:rPr>
        <w:t xml:space="preserve">uno </w:t>
      </w:r>
      <w:proofErr w:type="spellStart"/>
      <w:r w:rsidR="005079D5">
        <w:rPr>
          <w:rFonts w:ascii="Times New Roman" w:hAnsi="Times New Roman" w:cs="Times New Roman"/>
          <w:sz w:val="26"/>
          <w:szCs w:val="26"/>
        </w:rPr>
        <w:t>caducatorio</w:t>
      </w:r>
      <w:proofErr w:type="spellEnd"/>
      <w:r w:rsidR="005079D5">
        <w:rPr>
          <w:rFonts w:ascii="Times New Roman" w:hAnsi="Times New Roman" w:cs="Times New Roman"/>
          <w:sz w:val="26"/>
          <w:szCs w:val="26"/>
        </w:rPr>
        <w:t xml:space="preserve"> e l’altro manutentivo. L’art. 1664 prevede un unico rimedio, di tipo manutentivo</w:t>
      </w:r>
      <w:r w:rsidR="00390A88">
        <w:rPr>
          <w:rFonts w:ascii="Times New Roman" w:hAnsi="Times New Roman" w:cs="Times New Roman"/>
          <w:sz w:val="26"/>
          <w:szCs w:val="26"/>
        </w:rPr>
        <w:t>: la revisione del prezzo</w:t>
      </w:r>
      <w:r w:rsidR="005079D5">
        <w:rPr>
          <w:rFonts w:ascii="Times New Roman" w:hAnsi="Times New Roman" w:cs="Times New Roman"/>
          <w:sz w:val="26"/>
          <w:szCs w:val="26"/>
        </w:rPr>
        <w:t xml:space="preserve">. </w:t>
      </w:r>
      <w:r w:rsidR="00542597">
        <w:rPr>
          <w:rFonts w:ascii="Times New Roman" w:hAnsi="Times New Roman" w:cs="Times New Roman"/>
          <w:sz w:val="26"/>
          <w:szCs w:val="26"/>
        </w:rPr>
        <w:t>Ratio: conservazione del contratto</w:t>
      </w:r>
    </w:p>
    <w:p w14:paraId="78626300" w14:textId="0E79DBCF" w:rsidR="001C037E" w:rsidRPr="00BA23B2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4) </w:t>
      </w:r>
      <w:r w:rsidR="00542597">
        <w:rPr>
          <w:rFonts w:ascii="Times New Roman" w:hAnsi="Times New Roman" w:cs="Times New Roman"/>
          <w:sz w:val="26"/>
          <w:szCs w:val="26"/>
        </w:rPr>
        <w:t>L</w:t>
      </w:r>
      <w:r w:rsidRPr="00BA23B2">
        <w:rPr>
          <w:rFonts w:ascii="Times New Roman" w:hAnsi="Times New Roman" w:cs="Times New Roman"/>
          <w:sz w:val="26"/>
          <w:szCs w:val="26"/>
        </w:rPr>
        <w:t>a clausola che limita la possibilità di chiedere la r</w:t>
      </w:r>
      <w:r w:rsidR="00542597">
        <w:rPr>
          <w:rFonts w:ascii="Times New Roman" w:hAnsi="Times New Roman" w:cs="Times New Roman"/>
          <w:sz w:val="26"/>
          <w:szCs w:val="26"/>
        </w:rPr>
        <w:t>evisione</w:t>
      </w:r>
      <w:r w:rsidRPr="00BA23B2">
        <w:rPr>
          <w:rFonts w:ascii="Times New Roman" w:hAnsi="Times New Roman" w:cs="Times New Roman"/>
          <w:sz w:val="26"/>
          <w:szCs w:val="26"/>
        </w:rPr>
        <w:t xml:space="preserve"> del prezzo</w:t>
      </w:r>
    </w:p>
    <w:p w14:paraId="717CFF4B" w14:textId="77777777" w:rsidR="001C037E" w:rsidRPr="00BA23B2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4.1 Clausola che limita: clausola che esclude o </w:t>
      </w:r>
      <w:r>
        <w:rPr>
          <w:rFonts w:ascii="Times New Roman" w:hAnsi="Times New Roman" w:cs="Times New Roman"/>
          <w:sz w:val="26"/>
          <w:szCs w:val="26"/>
        </w:rPr>
        <w:t xml:space="preserve">anche </w:t>
      </w:r>
      <w:r w:rsidRPr="00BA23B2">
        <w:rPr>
          <w:rFonts w:ascii="Times New Roman" w:hAnsi="Times New Roman" w:cs="Times New Roman"/>
          <w:sz w:val="26"/>
          <w:szCs w:val="26"/>
        </w:rPr>
        <w:t>clausola che rende più difficile l’attivazione del rimedio</w:t>
      </w:r>
      <w:r>
        <w:rPr>
          <w:rFonts w:ascii="Times New Roman" w:hAnsi="Times New Roman" w:cs="Times New Roman"/>
          <w:sz w:val="26"/>
          <w:szCs w:val="26"/>
        </w:rPr>
        <w:t xml:space="preserve"> (lo squilibrio rilevante è fissato ad una soglia ulteriore rispetto a quella prevista dall’art. 1664 c.c.)</w:t>
      </w:r>
    </w:p>
    <w:p w14:paraId="635AC9AB" w14:textId="77777777" w:rsidR="001C037E" w:rsidRPr="00BA23B2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4.2  Funzione del rimedio: analisi economica del diritto: gestione delle sopravvenienze redistribuzione del rischio, adeguamento del contratto </w:t>
      </w:r>
    </w:p>
    <w:p w14:paraId="2CF794D7" w14:textId="77777777" w:rsidR="001C037E" w:rsidRPr="00BA23B2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4.3 E’ un rimedio nell’interesse della parte che ha subito la sopravvenienza. Interesse individuale. Norma disponibile.</w:t>
      </w:r>
    </w:p>
    <w:p w14:paraId="2CBDA219" w14:textId="5BBB3494" w:rsidR="001C037E" w:rsidRPr="00BA23B2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>4.4 La clausola che esclude o limita il rimedio a che serve? A porre a carico di una delle parti il rischio della sopravvenienza. Esercizio di autonomia privata con cui la parte assume volontariamente il rischio della sopravvenienza.</w:t>
      </w:r>
    </w:p>
    <w:p w14:paraId="0200619E" w14:textId="5CD36A9B" w:rsidR="001C037E" w:rsidRPr="00BA23B2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390A88">
        <w:rPr>
          <w:rFonts w:ascii="Times New Roman" w:hAnsi="Times New Roman" w:cs="Times New Roman"/>
          <w:sz w:val="26"/>
          <w:szCs w:val="26"/>
        </w:rPr>
        <w:t>.</w:t>
      </w:r>
      <w:r w:rsidRPr="00BA23B2">
        <w:rPr>
          <w:rFonts w:ascii="Times New Roman" w:hAnsi="Times New Roman" w:cs="Times New Roman"/>
          <w:sz w:val="26"/>
          <w:szCs w:val="26"/>
        </w:rPr>
        <w:t xml:space="preserve"> Gli ostacoli alla validità della clausola:</w:t>
      </w:r>
    </w:p>
    <w:p w14:paraId="41BB9947" w14:textId="77777777" w:rsidR="000002E1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5.1 Il rimedio </w:t>
      </w:r>
      <w:r w:rsidR="0085605C">
        <w:rPr>
          <w:rFonts w:ascii="Times New Roman" w:hAnsi="Times New Roman" w:cs="Times New Roman"/>
          <w:sz w:val="26"/>
          <w:szCs w:val="26"/>
        </w:rPr>
        <w:t xml:space="preserve">della revisione </w:t>
      </w:r>
      <w:r w:rsidRPr="00BA23B2">
        <w:rPr>
          <w:rFonts w:ascii="Times New Roman" w:hAnsi="Times New Roman" w:cs="Times New Roman"/>
          <w:sz w:val="26"/>
          <w:szCs w:val="26"/>
        </w:rPr>
        <w:t>è previsto dalla legge</w:t>
      </w:r>
      <w:r w:rsidR="0085605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AD9747" w14:textId="1816E77E" w:rsidR="001C037E" w:rsidRPr="00BA23B2" w:rsidRDefault="0085605C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Questo ostacolo è superabile sulla base della considerazione che </w:t>
      </w:r>
      <w:r w:rsidR="001C037E" w:rsidRPr="00BA23B2">
        <w:rPr>
          <w:rFonts w:ascii="Times New Roman" w:hAnsi="Times New Roman" w:cs="Times New Roman"/>
          <w:sz w:val="26"/>
          <w:szCs w:val="26"/>
        </w:rPr>
        <w:t>la norma che prevede il rimedio è disponibile, quindi derogabile. La clausola introduce una deroga ad una norma dispositiva. Il rimedio è previsto dalla legge, le parti possono disattivarlo? Si perché è un rimedio nell’interesse di parte previsto da una norma derogabile.</w:t>
      </w:r>
    </w:p>
    <w:p w14:paraId="1591776F" w14:textId="5D4C4D61" w:rsidR="001C037E" w:rsidRPr="00BA23B2" w:rsidRDefault="001C037E" w:rsidP="001C0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Anche la ga</w:t>
      </w:r>
      <w:r w:rsidR="00390A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anzia per vizi</w:t>
      </w:r>
      <w:r w:rsidR="00762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nella vendita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è prevista dalla legge, anche le relative azioni edilizie sono previste dalla legge: ciò non toglie che sia possibile escludere convenzionalmente la garanzia per vizi (artt. 1488, 1490, co. 2, c.c.), con conseguente esclusione dei rimedi</w:t>
      </w:r>
      <w:r w:rsidR="00762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(le azioni edilizie) 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previsti dal legislatore. </w:t>
      </w:r>
    </w:p>
    <w:p w14:paraId="32CC1EE7" w14:textId="4E6D5363" w:rsidR="000002E1" w:rsidRDefault="001C037E" w:rsidP="001C037E">
      <w:pPr>
        <w:jc w:val="both"/>
        <w:rPr>
          <w:rFonts w:ascii="Times New Roman" w:hAnsi="Times New Roman" w:cs="Times New Roman"/>
          <w:sz w:val="26"/>
          <w:szCs w:val="26"/>
        </w:rPr>
      </w:pPr>
      <w:r w:rsidRPr="00BA23B2">
        <w:rPr>
          <w:rFonts w:ascii="Times New Roman" w:hAnsi="Times New Roman" w:cs="Times New Roman"/>
          <w:sz w:val="26"/>
          <w:szCs w:val="26"/>
        </w:rPr>
        <w:t xml:space="preserve">5.2 </w:t>
      </w:r>
      <w:r w:rsidR="000002E1">
        <w:rPr>
          <w:rFonts w:ascii="Times New Roman" w:hAnsi="Times New Roman" w:cs="Times New Roman"/>
          <w:sz w:val="26"/>
          <w:szCs w:val="26"/>
        </w:rPr>
        <w:t>Il codice non menziona la possibilità di limitare l</w:t>
      </w:r>
      <w:r w:rsidR="003D1486">
        <w:rPr>
          <w:rFonts w:ascii="Times New Roman" w:hAnsi="Times New Roman" w:cs="Times New Roman"/>
          <w:sz w:val="26"/>
          <w:szCs w:val="26"/>
        </w:rPr>
        <w:t>’attivazione del rimedio della revisione del prezzo.</w:t>
      </w:r>
    </w:p>
    <w:p w14:paraId="089F9261" w14:textId="01746801" w:rsidR="001C037E" w:rsidRPr="00BA23B2" w:rsidRDefault="001C037E" w:rsidP="001C0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23B2">
        <w:rPr>
          <w:rFonts w:ascii="Times New Roman" w:hAnsi="Times New Roman" w:cs="Times New Roman"/>
          <w:sz w:val="26"/>
          <w:szCs w:val="26"/>
        </w:rPr>
        <w:t>E’ vero che il legislatore non prevede la clausola che limita</w:t>
      </w:r>
      <w:r w:rsidR="003D1486">
        <w:rPr>
          <w:rFonts w:ascii="Times New Roman" w:hAnsi="Times New Roman" w:cs="Times New Roman"/>
          <w:sz w:val="26"/>
          <w:szCs w:val="26"/>
        </w:rPr>
        <w:t xml:space="preserve"> la revisione</w:t>
      </w:r>
      <w:r w:rsidRPr="00BA23B2">
        <w:rPr>
          <w:rFonts w:ascii="Times New Roman" w:hAnsi="Times New Roman" w:cs="Times New Roman"/>
          <w:sz w:val="26"/>
          <w:szCs w:val="26"/>
        </w:rPr>
        <w:t xml:space="preserve">, ma neanche la vieta. Non vale qui la regola </w:t>
      </w:r>
      <w:proofErr w:type="spellStart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ubi</w:t>
      </w:r>
      <w:proofErr w:type="spellEnd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voluit</w:t>
      </w:r>
      <w:proofErr w:type="spellEnd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dixit, </w:t>
      </w:r>
      <w:proofErr w:type="spellStart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ubi</w:t>
      </w:r>
      <w:proofErr w:type="spellEnd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noluit</w:t>
      </w:r>
      <w:proofErr w:type="spellEnd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tacuit</w:t>
      </w:r>
      <w:proofErr w:type="spellEnd"/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3D14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E’ pacifico in giurisprudenza, ad esempio, che il rimedio previsto dall’art. 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2932 </w:t>
      </w:r>
      <w:r w:rsidR="003D14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(rimedio dell’esecuzione in forma specifica dell’obbligo di contrarre) 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può essere disattivato, pur non essendoci una norma che lo </w:t>
      </w:r>
      <w:r w:rsidR="003D14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consenta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4A1E36E" w14:textId="2ACB84F0" w:rsidR="002327C5" w:rsidRDefault="001C037E" w:rsidP="001C037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5.3 </w:t>
      </w:r>
      <w:r w:rsidR="002327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L’art. 1229 sancisce la nullità delle clausole che escludono o limitano la responsabilità per dolo o colpa grave.  </w:t>
      </w:r>
    </w:p>
    <w:p w14:paraId="0E4B4F08" w14:textId="77777777" w:rsidR="002327C5" w:rsidRDefault="002327C5" w:rsidP="001C037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CBF376D" w14:textId="1FFB1538" w:rsidR="001C037E" w:rsidRPr="00BA23B2" w:rsidRDefault="001C037E" w:rsidP="001C037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Non è applicabile l’art. 1229 c.c.</w:t>
      </w:r>
      <w:r w:rsidR="00F71C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alle clausole che limitano la revisione del prezzo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 clausola che esclude o limita la responsabilità opera su di un piano diverso rispetto alla clausola che limita il rimedio della revisione del prezzo: la prima p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resuppone una responsabilità, un inadempimento imputabile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la seconda non presuppone una responsabilità, un inadempimento imputabile. E non produce come effetto quello di escludere la responsabilità e tutti i relativi rimedi. Anzi la clausola che esclude il rimedio </w:t>
      </w:r>
      <w:r w:rsidR="00F71C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della revisione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può portare a una responsabilità: se la parte non adempie la prestazione,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ancorchè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diventata eccessivamente onerosa, è inadempiente e quindi responsabile.</w:t>
      </w:r>
    </w:p>
    <w:p w14:paraId="7EBE4688" w14:textId="77777777" w:rsidR="001C037E" w:rsidRDefault="001C037E" w:rsidP="001C0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4A4CC03" w14:textId="77777777" w:rsidR="001C037E" w:rsidRPr="00BA23B2" w:rsidRDefault="001C037E" w:rsidP="001C0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Quindi in sintesi la clausola è valida.</w:t>
      </w:r>
    </w:p>
    <w:p w14:paraId="21336BA1" w14:textId="085F28F0" w:rsidR="001C037E" w:rsidRPr="00BA23B2" w:rsidRDefault="001C037E" w:rsidP="001C0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 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però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il committente è un consumatore e l’appaltatore un professionista?</w:t>
      </w:r>
      <w:r w:rsidR="008B0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questo caso bisogna tenere in considerazione la disciplina </w:t>
      </w:r>
      <w:proofErr w:type="spellStart"/>
      <w:r w:rsidR="008B0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posta</w:t>
      </w:r>
      <w:proofErr w:type="spellEnd"/>
      <w:r w:rsidR="008B0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tutela del consumatore </w:t>
      </w:r>
    </w:p>
    <w:p w14:paraId="4CB4BF7A" w14:textId="3695F519" w:rsidR="001C037E" w:rsidRPr="00BA23B2" w:rsidRDefault="001C037E" w:rsidP="001C0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686868"/>
          <w:sz w:val="26"/>
          <w:szCs w:val="26"/>
        </w:rPr>
        <w:t>6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 La clausola in esame non è vessatoria ai sensi dell’art  33 b) cod</w:t>
      </w:r>
      <w:r w:rsidR="008B0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ice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B0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del 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cons</w:t>
      </w:r>
      <w:r w:rsidR="008B0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umo</w:t>
      </w:r>
      <w:r w:rsidRPr="00BA23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che fa riferimento alla clausola che produce come effetto quello di escludere o limitare le azioni o i diritti del consumatore nei confronti del professionista o di un'altra parte in caso di inadempimento totale o parziale o di adempimento inesatto da parte del professionista;</w:t>
      </w:r>
    </w:p>
    <w:p w14:paraId="4D2289CE" w14:textId="77777777" w:rsidR="001C037E" w:rsidRPr="00BA23B2" w:rsidRDefault="001C037E" w:rsidP="001C03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A23B2">
        <w:rPr>
          <w:rFonts w:ascii="Times New Roman" w:hAnsi="Times New Roman" w:cs="Times New Roman"/>
          <w:sz w:val="26"/>
          <w:szCs w:val="26"/>
        </w:rPr>
        <w:t>.2 Ma è vessatoria se la clausola, in base al regolamento normativo complessivo del contratto, determini un eccessivo squilibrio dei diritti e degli obblighi.</w:t>
      </w:r>
    </w:p>
    <w:p w14:paraId="410D7F8C" w14:textId="77777777" w:rsidR="00E8536F" w:rsidRDefault="00E8536F"/>
    <w:sectPr w:rsidR="00E85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6334"/>
    <w:multiLevelType w:val="multilevel"/>
    <w:tmpl w:val="34F61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2D2C3556"/>
    <w:multiLevelType w:val="hybridMultilevel"/>
    <w:tmpl w:val="3956FA0A"/>
    <w:lvl w:ilvl="0" w:tplc="F998D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27028">
    <w:abstractNumId w:val="1"/>
  </w:num>
  <w:num w:numId="2" w16cid:durableId="174987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7E"/>
    <w:rsid w:val="000002E1"/>
    <w:rsid w:val="001C037E"/>
    <w:rsid w:val="002327C5"/>
    <w:rsid w:val="003422EF"/>
    <w:rsid w:val="00390A88"/>
    <w:rsid w:val="003D1486"/>
    <w:rsid w:val="005079D5"/>
    <w:rsid w:val="00542597"/>
    <w:rsid w:val="00762C51"/>
    <w:rsid w:val="0085605C"/>
    <w:rsid w:val="008B0806"/>
    <w:rsid w:val="00E8536F"/>
    <w:rsid w:val="00F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5B01"/>
  <w15:chartTrackingRefBased/>
  <w15:docId w15:val="{4BB0ECBD-3B50-46DA-BBFF-27FFE27B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37E"/>
  </w:style>
  <w:style w:type="paragraph" w:styleId="Titolo1">
    <w:name w:val="heading 1"/>
    <w:basedOn w:val="Normale"/>
    <w:next w:val="Normale"/>
    <w:link w:val="Titolo1Carattere"/>
    <w:uiPriority w:val="9"/>
    <w:qFormat/>
    <w:rsid w:val="001C0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0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0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0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0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0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0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0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0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0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037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037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03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03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03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03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0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0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0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03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03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03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0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037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0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Fratini Marco</dc:creator>
  <cp:keywords/>
  <dc:description/>
  <cp:lastModifiedBy>Fratini Marco</cp:lastModifiedBy>
  <cp:revision>15</cp:revision>
  <dcterms:created xsi:type="dcterms:W3CDTF">2024-04-16T13:26:00Z</dcterms:created>
  <dcterms:modified xsi:type="dcterms:W3CDTF">2024-04-16T14:02:00Z</dcterms:modified>
</cp:coreProperties>
</file>